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7E" w:rsidRPr="009E51FC" w:rsidRDefault="00D5547E" w:rsidP="004A6D2F"/>
    <w:tbl>
      <w:tblPr>
        <w:tblW w:w="0" w:type="auto"/>
        <w:tblInd w:w="108" w:type="dxa"/>
        <w:tblLayout w:type="fixed"/>
        <w:tblLook w:val="04A0" w:firstRow="1" w:lastRow="0" w:firstColumn="1" w:lastColumn="0" w:noHBand="0" w:noVBand="1"/>
      </w:tblPr>
      <w:tblGrid>
        <w:gridCol w:w="2438"/>
        <w:gridCol w:w="6406"/>
      </w:tblGrid>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rsidR="00F445B1" w:rsidRPr="00F95BC9" w:rsidRDefault="00BC5362" w:rsidP="004A6D2F">
            <w:pPr>
              <w:rPr>
                <w:rStyle w:val="Firstpagetablebold"/>
              </w:rPr>
            </w:pPr>
            <w:r>
              <w:rPr>
                <w:rStyle w:val="Firstpagetablebold"/>
              </w:rPr>
              <w:t>Audit &amp; Governance Committee</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rsidR="00F445B1" w:rsidRPr="001356F1" w:rsidRDefault="00BC5362" w:rsidP="005D0621">
            <w:pPr>
              <w:rPr>
                <w:b/>
              </w:rPr>
            </w:pPr>
            <w:r>
              <w:rPr>
                <w:rStyle w:val="Firstpagetablebold"/>
              </w:rPr>
              <w:t>28 June 2017</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rsidR="00F445B1" w:rsidRPr="001356F1" w:rsidRDefault="00BC5362" w:rsidP="004A6D2F">
            <w:pPr>
              <w:rPr>
                <w:rStyle w:val="Firstpagetablebold"/>
              </w:rPr>
            </w:pPr>
            <w:r>
              <w:rPr>
                <w:rStyle w:val="Firstpagetablebold"/>
              </w:rPr>
              <w:t>Acting Head of Law &amp; Governance</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rsidR="00F445B1" w:rsidRPr="001356F1" w:rsidRDefault="00BC5362" w:rsidP="004A6D2F">
            <w:pPr>
              <w:rPr>
                <w:rStyle w:val="Firstpagetablebold"/>
              </w:rPr>
            </w:pPr>
            <w:r>
              <w:rPr>
                <w:rStyle w:val="Firstpagetablebold"/>
              </w:rPr>
              <w:t>2016/17 Annual Governance Statement</w:t>
            </w:r>
          </w:p>
        </w:tc>
      </w:tr>
    </w:tbl>
    <w:p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26"/>
        <w:gridCol w:w="2012"/>
        <w:gridCol w:w="6407"/>
      </w:tblGrid>
      <w:tr w:rsidR="00D5547E" w:rsidTr="0080749A">
        <w:tc>
          <w:tcPr>
            <w:tcW w:w="8845" w:type="dxa"/>
            <w:gridSpan w:val="3"/>
            <w:tcBorders>
              <w:bottom w:val="single" w:sz="8" w:space="0" w:color="000000"/>
            </w:tcBorders>
            <w:hideMark/>
          </w:tcPr>
          <w:p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rsidTr="0080749A">
        <w:tc>
          <w:tcPr>
            <w:tcW w:w="2438" w:type="dxa"/>
            <w:gridSpan w:val="2"/>
            <w:tcBorders>
              <w:top w:val="single" w:sz="8" w:space="0" w:color="000000"/>
              <w:left w:val="single" w:sz="8" w:space="0" w:color="000000"/>
              <w:bottom w:val="nil"/>
              <w:right w:val="nil"/>
            </w:tcBorders>
            <w:hideMark/>
          </w:tcPr>
          <w:p w:rsidR="00D5547E" w:rsidRDefault="00D5547E">
            <w:pPr>
              <w:rPr>
                <w:rStyle w:val="Firstpagetablebold"/>
              </w:rPr>
            </w:pPr>
            <w:r>
              <w:rPr>
                <w:rStyle w:val="Firstpagetablebold"/>
              </w:rPr>
              <w:t>Purpose of report:</w:t>
            </w:r>
          </w:p>
        </w:tc>
        <w:tc>
          <w:tcPr>
            <w:tcW w:w="6407" w:type="dxa"/>
            <w:tcBorders>
              <w:top w:val="single" w:sz="8" w:space="0" w:color="000000"/>
              <w:left w:val="nil"/>
              <w:bottom w:val="nil"/>
              <w:right w:val="single" w:sz="8" w:space="0" w:color="000000"/>
            </w:tcBorders>
            <w:hideMark/>
          </w:tcPr>
          <w:p w:rsidR="00D5547E" w:rsidRPr="001356F1" w:rsidRDefault="00BC5362" w:rsidP="00796FDB">
            <w:r>
              <w:t>To present the 2016/17 Annual Governance Statement for approval</w:t>
            </w:r>
            <w:r w:rsidR="00B50BEC">
              <w:t xml:space="preserve">. </w:t>
            </w:r>
            <w:r w:rsidR="00B50BEC" w:rsidRPr="002B1994">
              <w:rPr>
                <w:rFonts w:cs="Arial"/>
                <w:color w:val="auto"/>
                <w:lang w:val="en"/>
              </w:rPr>
              <w:t xml:space="preserve">The Committee is asked to review the Annual Governance Statement prior to approval and consider whether it properly reflects the risk environment and supporting assurances, taking into account </w:t>
            </w:r>
            <w:r w:rsidR="00796FDB" w:rsidRPr="002B1994">
              <w:rPr>
                <w:rFonts w:cs="Arial"/>
                <w:color w:val="auto"/>
                <w:lang w:val="en"/>
              </w:rPr>
              <w:t>the internal a</w:t>
            </w:r>
            <w:r w:rsidR="00B50BEC" w:rsidRPr="002B1994">
              <w:rPr>
                <w:rFonts w:cs="Arial"/>
                <w:color w:val="auto"/>
                <w:lang w:val="en"/>
              </w:rPr>
              <w:t>udit</w:t>
            </w:r>
            <w:r w:rsidR="00796FDB" w:rsidRPr="002B1994">
              <w:rPr>
                <w:rFonts w:cs="Arial"/>
                <w:color w:val="auto"/>
                <w:lang w:val="en"/>
              </w:rPr>
              <w:t>or</w:t>
            </w:r>
            <w:r w:rsidR="00B50BEC" w:rsidRPr="002B1994">
              <w:rPr>
                <w:rFonts w:cs="Arial"/>
                <w:color w:val="auto"/>
                <w:lang w:val="en"/>
              </w:rPr>
              <w:t>’s opinion on the overall ade</w:t>
            </w:r>
            <w:r w:rsidR="003B1773" w:rsidRPr="002B1994">
              <w:rPr>
                <w:rFonts w:cs="Arial"/>
                <w:color w:val="auto"/>
                <w:lang w:val="en"/>
              </w:rPr>
              <w:t>quacy and effectiveness of the C</w:t>
            </w:r>
            <w:r w:rsidR="00B50BEC" w:rsidRPr="002B1994">
              <w:rPr>
                <w:rFonts w:cs="Arial"/>
                <w:color w:val="auto"/>
                <w:lang w:val="en"/>
              </w:rPr>
              <w:t>ouncil’s framework of governance, risk management and control</w:t>
            </w:r>
            <w:r w:rsidR="00B50BEC" w:rsidRPr="00B50BEC">
              <w:rPr>
                <w:rFonts w:cs="Arial"/>
                <w:color w:val="444444"/>
                <w:lang w:val="en"/>
              </w:rPr>
              <w:t>.</w:t>
            </w:r>
          </w:p>
        </w:tc>
      </w:tr>
      <w:tr w:rsidR="005F7F7E" w:rsidRPr="00975B07" w:rsidTr="003B1773">
        <w:trPr>
          <w:trHeight w:val="413"/>
        </w:trPr>
        <w:tc>
          <w:tcPr>
            <w:tcW w:w="8845" w:type="dxa"/>
            <w:gridSpan w:val="3"/>
            <w:tcBorders>
              <w:bottom w:val="single" w:sz="8" w:space="0" w:color="000000"/>
            </w:tcBorders>
          </w:tcPr>
          <w:p w:rsidR="005F7F7E" w:rsidRPr="00975B07" w:rsidRDefault="002B1994" w:rsidP="00BC5362">
            <w:proofErr w:type="spellStart"/>
            <w:r>
              <w:rPr>
                <w:rStyle w:val="Firstpagetablebold"/>
              </w:rPr>
              <w:t>Recommendation</w:t>
            </w:r>
            <w:r w:rsidR="005F7F7E">
              <w:rPr>
                <w:rStyle w:val="Firstpagetablebold"/>
              </w:rPr>
              <w:t>:That</w:t>
            </w:r>
            <w:proofErr w:type="spellEnd"/>
            <w:r w:rsidR="005F7F7E">
              <w:rPr>
                <w:rStyle w:val="Firstpagetablebold"/>
              </w:rPr>
              <w:t xml:space="preserve"> the </w:t>
            </w:r>
            <w:r w:rsidR="00BC5362">
              <w:rPr>
                <w:rStyle w:val="Firstpagetablebold"/>
              </w:rPr>
              <w:t>Audit &amp; Governance Committee</w:t>
            </w:r>
            <w:r w:rsidR="005F7F7E">
              <w:rPr>
                <w:rStyle w:val="Firstpagetablebold"/>
              </w:rPr>
              <w:t xml:space="preserve"> resolves to:</w:t>
            </w:r>
          </w:p>
        </w:tc>
      </w:tr>
      <w:tr w:rsidR="0030208D" w:rsidRPr="00975B07" w:rsidTr="003B1773">
        <w:trPr>
          <w:trHeight w:val="283"/>
        </w:trPr>
        <w:tc>
          <w:tcPr>
            <w:tcW w:w="426" w:type="dxa"/>
            <w:tcBorders>
              <w:top w:val="single" w:sz="8" w:space="0" w:color="000000"/>
              <w:left w:val="single" w:sz="8" w:space="0" w:color="000000"/>
              <w:bottom w:val="single" w:sz="4" w:space="0" w:color="auto"/>
              <w:right w:val="nil"/>
            </w:tcBorders>
          </w:tcPr>
          <w:p w:rsidR="0030208D" w:rsidRPr="00975B07" w:rsidRDefault="00B50BEC" w:rsidP="004A6D2F">
            <w:r>
              <w:t>1.</w:t>
            </w:r>
          </w:p>
        </w:tc>
        <w:tc>
          <w:tcPr>
            <w:tcW w:w="8419" w:type="dxa"/>
            <w:gridSpan w:val="2"/>
            <w:tcBorders>
              <w:top w:val="single" w:sz="8" w:space="0" w:color="000000"/>
              <w:left w:val="nil"/>
              <w:bottom w:val="single" w:sz="4" w:space="0" w:color="auto"/>
              <w:right w:val="single" w:sz="8" w:space="0" w:color="000000"/>
            </w:tcBorders>
            <w:shd w:val="clear" w:color="auto" w:fill="auto"/>
          </w:tcPr>
          <w:p w:rsidR="0030208D" w:rsidRPr="00BC5362" w:rsidRDefault="00796FDB" w:rsidP="002069B3">
            <w:pPr>
              <w:rPr>
                <w:b/>
              </w:rPr>
            </w:pPr>
            <w:r>
              <w:rPr>
                <w:rStyle w:val="Firstpagetablebold"/>
                <w:b w:val="0"/>
              </w:rPr>
              <w:t>A</w:t>
            </w:r>
            <w:r w:rsidR="00BC5362" w:rsidRPr="00BC5362">
              <w:rPr>
                <w:rStyle w:val="Firstpagetablebold"/>
                <w:b w:val="0"/>
              </w:rPr>
              <w:t xml:space="preserve">pprove the Annual </w:t>
            </w:r>
            <w:r w:rsidR="0030208D" w:rsidRPr="00BC5362">
              <w:rPr>
                <w:b/>
              </w:rPr>
              <w:t xml:space="preserve"> </w:t>
            </w:r>
            <w:r w:rsidR="00BC5362" w:rsidRPr="00BC5362">
              <w:t>Governance Statement</w:t>
            </w:r>
          </w:p>
        </w:tc>
      </w:tr>
    </w:tbl>
    <w:p w:rsidR="00CE544A" w:rsidRPr="009E51FC" w:rsidRDefault="00CE544A"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406"/>
      </w:tblGrid>
      <w:tr w:rsidR="00966D42" w:rsidRPr="00975B07" w:rsidTr="003B1773">
        <w:tc>
          <w:tcPr>
            <w:tcW w:w="8844" w:type="dxa"/>
            <w:gridSpan w:val="2"/>
            <w:tcBorders>
              <w:top w:val="single" w:sz="8" w:space="0" w:color="000000"/>
              <w:left w:val="single" w:sz="8" w:space="0" w:color="000000"/>
              <w:bottom w:val="single" w:sz="8" w:space="0" w:color="000000"/>
              <w:right w:val="single" w:sz="8" w:space="0" w:color="000000"/>
            </w:tcBorders>
            <w:shd w:val="clear" w:color="auto" w:fill="auto"/>
          </w:tcPr>
          <w:p w:rsidR="00966D42" w:rsidRPr="00975B07" w:rsidRDefault="00966D42" w:rsidP="00263EA3">
            <w:pPr>
              <w:jc w:val="center"/>
            </w:pPr>
            <w:r w:rsidRPr="00745BF0">
              <w:rPr>
                <w:rStyle w:val="Firstpagetablebold"/>
              </w:rPr>
              <w:t>Appendices</w:t>
            </w:r>
          </w:p>
        </w:tc>
      </w:tr>
      <w:tr w:rsidR="00ED5860" w:rsidRPr="00975B07" w:rsidTr="003B1773">
        <w:tc>
          <w:tcPr>
            <w:tcW w:w="2438" w:type="dxa"/>
            <w:tcBorders>
              <w:top w:val="single" w:sz="8" w:space="0" w:color="000000"/>
              <w:left w:val="single" w:sz="8" w:space="0" w:color="000000"/>
              <w:bottom w:val="single" w:sz="4" w:space="0" w:color="auto"/>
              <w:right w:val="nil"/>
            </w:tcBorders>
            <w:shd w:val="clear" w:color="auto" w:fill="auto"/>
          </w:tcPr>
          <w:p w:rsidR="00ED5860" w:rsidRPr="00975B07" w:rsidRDefault="00ED5860" w:rsidP="004A6D2F">
            <w:r w:rsidRPr="00975B07">
              <w:t>Appendix 1</w:t>
            </w:r>
          </w:p>
        </w:tc>
        <w:tc>
          <w:tcPr>
            <w:tcW w:w="6406" w:type="dxa"/>
            <w:tcBorders>
              <w:top w:val="single" w:sz="8" w:space="0" w:color="000000"/>
              <w:left w:val="nil"/>
              <w:bottom w:val="single" w:sz="4" w:space="0" w:color="auto"/>
              <w:right w:val="single" w:sz="8" w:space="0" w:color="000000"/>
            </w:tcBorders>
          </w:tcPr>
          <w:p w:rsidR="00ED5860" w:rsidRPr="001356F1" w:rsidRDefault="00BC5362" w:rsidP="00BC5362">
            <w:r>
              <w:t>Annual Governance Statement</w:t>
            </w:r>
            <w:r w:rsidR="002702ED">
              <w:t xml:space="preserve"> </w:t>
            </w:r>
            <w:r>
              <w:t xml:space="preserve"> 2016/17</w:t>
            </w:r>
          </w:p>
        </w:tc>
      </w:tr>
    </w:tbl>
    <w:p w:rsidR="0040736F" w:rsidRPr="001356F1" w:rsidRDefault="00F66DCA" w:rsidP="004A6D2F">
      <w:pPr>
        <w:pStyle w:val="Heading1"/>
      </w:pPr>
      <w:r w:rsidRPr="001356F1">
        <w:t>Introduction and b</w:t>
      </w:r>
      <w:r w:rsidR="00151888" w:rsidRPr="001356F1">
        <w:t>ackground</w:t>
      </w:r>
      <w:r w:rsidR="00404032" w:rsidRPr="001356F1">
        <w:t xml:space="preserve"> </w:t>
      </w:r>
    </w:p>
    <w:p w:rsidR="002702ED" w:rsidRPr="00641712" w:rsidRDefault="002702ED" w:rsidP="004B460B">
      <w:pPr>
        <w:numPr>
          <w:ilvl w:val="0"/>
          <w:numId w:val="34"/>
        </w:numPr>
        <w:tabs>
          <w:tab w:val="clear" w:pos="720"/>
          <w:tab w:val="num" w:pos="567"/>
        </w:tabs>
        <w:spacing w:after="0"/>
        <w:ind w:left="567" w:hanging="567"/>
        <w:rPr>
          <w:color w:val="auto"/>
          <w:lang w:eastAsia="en-US"/>
        </w:rPr>
      </w:pPr>
      <w:r w:rsidRPr="00641712">
        <w:t>The preparation of the Annual Governance Statement (“the AGS”), to support the Annual Statement of Accounts, is a statutory requirement (</w:t>
      </w:r>
      <w:r w:rsidRPr="00641712">
        <w:rPr>
          <w:color w:val="auto"/>
          <w:lang w:eastAsia="en-US"/>
        </w:rPr>
        <w:t>Accounts and Audit Regulations 2015)</w:t>
      </w:r>
      <w:r w:rsidR="003B1773">
        <w:rPr>
          <w:color w:val="auto"/>
          <w:lang w:eastAsia="en-US"/>
        </w:rPr>
        <w:t xml:space="preserve"> </w:t>
      </w:r>
      <w:r w:rsidRPr="00641712">
        <w:t xml:space="preserve">for local authorities. Its purpose is to demonstrate and evidence that there is a continuous review of its controls environment - the effectiveness of the Council’s internal control, performance, and risk management systems. This allows an assurance on their effectiveness to be provided so that users of the </w:t>
      </w:r>
      <w:r w:rsidR="003B1773">
        <w:t>A</w:t>
      </w:r>
      <w:r w:rsidRPr="00641712">
        <w:t xml:space="preserve">nnual </w:t>
      </w:r>
      <w:r w:rsidR="003B1773">
        <w:t>Report and Statement of A</w:t>
      </w:r>
      <w:r w:rsidRPr="00641712">
        <w:t>ccounts can be satisfied that proper arrangements are in place to govern spending and safeguard assets. The process also enables the production of a corporate action plan to address any identified weaknesses.</w:t>
      </w:r>
    </w:p>
    <w:p w:rsidR="00B50BEC" w:rsidRPr="00B50BEC" w:rsidRDefault="00B50BEC" w:rsidP="004B460B">
      <w:pPr>
        <w:spacing w:after="0"/>
        <w:rPr>
          <w:color w:val="auto"/>
          <w:lang w:eastAsia="en-US"/>
        </w:rPr>
      </w:pPr>
    </w:p>
    <w:p w:rsidR="00641712" w:rsidRPr="00641712" w:rsidRDefault="00B50BEC" w:rsidP="00641712">
      <w:pPr>
        <w:numPr>
          <w:ilvl w:val="0"/>
          <w:numId w:val="34"/>
        </w:numPr>
        <w:tabs>
          <w:tab w:val="clear" w:pos="720"/>
          <w:tab w:val="num" w:pos="567"/>
        </w:tabs>
        <w:autoSpaceDE w:val="0"/>
        <w:autoSpaceDN w:val="0"/>
        <w:adjustRightInd w:val="0"/>
        <w:spacing w:after="0"/>
        <w:ind w:left="567" w:hanging="567"/>
        <w:rPr>
          <w:color w:val="auto"/>
          <w:lang w:eastAsia="en-US"/>
        </w:rPr>
      </w:pPr>
      <w:r w:rsidRPr="00641712">
        <w:rPr>
          <w:rFonts w:cs="Arial"/>
          <w:color w:val="auto"/>
        </w:rPr>
        <w:t>The AGS also explains what governance challenges the Council is facing</w:t>
      </w:r>
      <w:r w:rsidR="003B1773">
        <w:rPr>
          <w:rFonts w:cs="Arial"/>
          <w:color w:val="auto"/>
        </w:rPr>
        <w:t xml:space="preserve"> and</w:t>
      </w:r>
      <w:r w:rsidRPr="00641712">
        <w:rPr>
          <w:rFonts w:cs="Arial"/>
          <w:color w:val="auto"/>
        </w:rPr>
        <w:t xml:space="preserve"> how </w:t>
      </w:r>
      <w:r w:rsidR="003B1773">
        <w:rPr>
          <w:rFonts w:cs="Arial"/>
          <w:color w:val="auto"/>
        </w:rPr>
        <w:t>it</w:t>
      </w:r>
      <w:r w:rsidRPr="00641712">
        <w:rPr>
          <w:rFonts w:cs="Arial"/>
          <w:color w:val="auto"/>
        </w:rPr>
        <w:t xml:space="preserve"> is addressing </w:t>
      </w:r>
      <w:r w:rsidR="003B1773">
        <w:rPr>
          <w:rFonts w:cs="Arial"/>
          <w:color w:val="auto"/>
        </w:rPr>
        <w:t xml:space="preserve">those challenges and </w:t>
      </w:r>
      <w:r w:rsidRPr="00641712">
        <w:rPr>
          <w:rFonts w:cs="Arial"/>
          <w:color w:val="auto"/>
        </w:rPr>
        <w:t xml:space="preserve">seeking improvement in how its functions are exercised. </w:t>
      </w:r>
      <w:r w:rsidR="003B1773">
        <w:rPr>
          <w:rFonts w:cs="Arial"/>
          <w:color w:val="auto"/>
        </w:rPr>
        <w:t xml:space="preserve"> As part of the</w:t>
      </w:r>
      <w:r w:rsidR="004B460B" w:rsidRPr="00641712">
        <w:rPr>
          <w:rFonts w:cs="Arial"/>
          <w:color w:val="auto"/>
        </w:rPr>
        <w:t xml:space="preserve"> process</w:t>
      </w:r>
      <w:r w:rsidR="003B1773">
        <w:rPr>
          <w:rFonts w:cs="Arial"/>
          <w:color w:val="auto"/>
        </w:rPr>
        <w:t xml:space="preserve"> of identifying issues </w:t>
      </w:r>
      <w:r w:rsidR="004B460B" w:rsidRPr="00641712">
        <w:rPr>
          <w:rFonts w:cs="Arial"/>
          <w:color w:val="auto"/>
        </w:rPr>
        <w:t xml:space="preserve">self-assessment information </w:t>
      </w:r>
      <w:r w:rsidR="003B1773">
        <w:rPr>
          <w:rFonts w:cs="Arial"/>
          <w:color w:val="auto"/>
        </w:rPr>
        <w:t xml:space="preserve">is </w:t>
      </w:r>
      <w:r w:rsidR="004B460B" w:rsidRPr="00641712">
        <w:rPr>
          <w:rFonts w:cs="Arial"/>
          <w:color w:val="auto"/>
        </w:rPr>
        <w:t xml:space="preserve">collated </w:t>
      </w:r>
      <w:r w:rsidR="003B1773">
        <w:rPr>
          <w:rFonts w:cs="Arial"/>
          <w:color w:val="auto"/>
        </w:rPr>
        <w:t xml:space="preserve">for all Service Areas through checklist </w:t>
      </w:r>
      <w:proofErr w:type="spellStart"/>
      <w:r w:rsidR="003B1773">
        <w:rPr>
          <w:rFonts w:cs="Arial"/>
          <w:color w:val="auto"/>
        </w:rPr>
        <w:lastRenderedPageBreak/>
        <w:t>proformas</w:t>
      </w:r>
      <w:proofErr w:type="spellEnd"/>
      <w:r w:rsidR="004B460B" w:rsidRPr="00641712">
        <w:rPr>
          <w:rFonts w:cs="Arial"/>
          <w:color w:val="auto"/>
        </w:rPr>
        <w:t>. The checklists are analysed to identify recurring governance challenges.</w:t>
      </w:r>
    </w:p>
    <w:p w:rsidR="00641712" w:rsidRDefault="00641712" w:rsidP="00641712">
      <w:pPr>
        <w:autoSpaceDE w:val="0"/>
        <w:autoSpaceDN w:val="0"/>
        <w:adjustRightInd w:val="0"/>
        <w:spacing w:after="0"/>
        <w:rPr>
          <w:color w:val="auto"/>
          <w:lang w:eastAsia="en-US"/>
        </w:rPr>
      </w:pPr>
    </w:p>
    <w:p w:rsidR="00641712" w:rsidRPr="00641712" w:rsidRDefault="00641712" w:rsidP="00641712">
      <w:pPr>
        <w:autoSpaceDE w:val="0"/>
        <w:autoSpaceDN w:val="0"/>
        <w:adjustRightInd w:val="0"/>
        <w:spacing w:after="0"/>
        <w:rPr>
          <w:b/>
          <w:color w:val="auto"/>
          <w:lang w:eastAsia="en-US"/>
        </w:rPr>
      </w:pPr>
      <w:r w:rsidRPr="00641712">
        <w:rPr>
          <w:b/>
          <w:color w:val="auto"/>
          <w:lang w:eastAsia="en-US"/>
        </w:rPr>
        <w:t>The Annual Governance Statement</w:t>
      </w:r>
    </w:p>
    <w:p w:rsidR="00641712" w:rsidRDefault="00641712" w:rsidP="00641712">
      <w:pPr>
        <w:autoSpaceDE w:val="0"/>
        <w:autoSpaceDN w:val="0"/>
        <w:adjustRightInd w:val="0"/>
        <w:spacing w:after="0"/>
        <w:rPr>
          <w:color w:val="auto"/>
          <w:lang w:eastAsia="en-US"/>
        </w:rPr>
      </w:pPr>
    </w:p>
    <w:p w:rsidR="00641712" w:rsidRPr="00641712" w:rsidRDefault="00641712" w:rsidP="00641712">
      <w:pPr>
        <w:numPr>
          <w:ilvl w:val="0"/>
          <w:numId w:val="34"/>
        </w:numPr>
        <w:tabs>
          <w:tab w:val="clear" w:pos="720"/>
          <w:tab w:val="num" w:pos="567"/>
        </w:tabs>
        <w:autoSpaceDE w:val="0"/>
        <w:autoSpaceDN w:val="0"/>
        <w:adjustRightInd w:val="0"/>
        <w:spacing w:after="0"/>
        <w:ind w:left="567" w:hanging="567"/>
        <w:rPr>
          <w:color w:val="auto"/>
          <w:lang w:eastAsia="en-US"/>
        </w:rPr>
      </w:pPr>
      <w:r w:rsidRPr="00641712">
        <w:t>It is noted that whilst there is a legislative requirement to complete the AGS, the information provided by the exercise is of benefit to the Council as it enables an assessment of governance arrangements across the Council, and identifies where strengths and areas for development exist in those arrangements. Where significant governance issues are identified, progress can be monitored</w:t>
      </w:r>
      <w:r w:rsidR="00796FDB">
        <w:t>,</w:t>
      </w:r>
      <w:r w:rsidRPr="00641712">
        <w:t xml:space="preserve"> as required</w:t>
      </w:r>
      <w:r w:rsidR="00796FDB">
        <w:t>,</w:t>
      </w:r>
      <w:r w:rsidRPr="00641712">
        <w:t xml:space="preserve"> through the year (and reflected within the following year’s AGS).</w:t>
      </w:r>
    </w:p>
    <w:p w:rsidR="00641712" w:rsidRPr="00641712" w:rsidRDefault="00641712" w:rsidP="00641712">
      <w:pPr>
        <w:autoSpaceDE w:val="0"/>
        <w:autoSpaceDN w:val="0"/>
        <w:adjustRightInd w:val="0"/>
        <w:spacing w:after="0"/>
        <w:rPr>
          <w:color w:val="auto"/>
          <w:lang w:eastAsia="en-US"/>
        </w:rPr>
      </w:pPr>
    </w:p>
    <w:p w:rsidR="00641712" w:rsidRPr="00641712" w:rsidRDefault="00641712" w:rsidP="00641712">
      <w:pPr>
        <w:numPr>
          <w:ilvl w:val="0"/>
          <w:numId w:val="34"/>
        </w:numPr>
        <w:tabs>
          <w:tab w:val="clear" w:pos="720"/>
          <w:tab w:val="num" w:pos="567"/>
        </w:tabs>
        <w:autoSpaceDE w:val="0"/>
        <w:autoSpaceDN w:val="0"/>
        <w:adjustRightInd w:val="0"/>
        <w:spacing w:after="0"/>
        <w:ind w:left="567" w:hanging="567"/>
        <w:rPr>
          <w:color w:val="auto"/>
          <w:lang w:eastAsia="en-US"/>
        </w:rPr>
      </w:pPr>
      <w:r>
        <w:t xml:space="preserve">The AGS highlights a significant governance issue around Business Continuity Planning which </w:t>
      </w:r>
      <w:r w:rsidR="00796FDB">
        <w:t xml:space="preserve">was </w:t>
      </w:r>
      <w:r>
        <w:t xml:space="preserve">raised by the Council’s internal auditors. </w:t>
      </w:r>
    </w:p>
    <w:p w:rsidR="00B50BEC" w:rsidRDefault="00B50BEC" w:rsidP="00641712">
      <w:pPr>
        <w:pStyle w:val="ListParagraph"/>
        <w:numPr>
          <w:ilvl w:val="0"/>
          <w:numId w:val="0"/>
        </w:numPr>
        <w:spacing w:after="0"/>
        <w:rPr>
          <w:color w:val="auto"/>
          <w:lang w:eastAsia="en-US"/>
        </w:rPr>
      </w:pPr>
    </w:p>
    <w:p w:rsidR="004B460B" w:rsidRPr="00796FDB" w:rsidRDefault="00B50BEC" w:rsidP="00796FDB">
      <w:pPr>
        <w:numPr>
          <w:ilvl w:val="0"/>
          <w:numId w:val="34"/>
        </w:numPr>
        <w:tabs>
          <w:tab w:val="clear" w:pos="720"/>
          <w:tab w:val="num" w:pos="567"/>
        </w:tabs>
        <w:autoSpaceDE w:val="0"/>
        <w:autoSpaceDN w:val="0"/>
        <w:adjustRightInd w:val="0"/>
        <w:spacing w:after="0"/>
        <w:ind w:left="567" w:hanging="567"/>
        <w:rPr>
          <w:color w:val="auto"/>
          <w:lang w:eastAsia="en-US"/>
        </w:rPr>
      </w:pPr>
      <w:r>
        <w:t xml:space="preserve">The Council recognises the importance of putting in place more robust </w:t>
      </w:r>
      <w:r w:rsidRPr="004B460B">
        <w:rPr>
          <w:rFonts w:cs="Arial"/>
          <w:color w:val="auto"/>
        </w:rPr>
        <w:t>arrangements for</w:t>
      </w:r>
      <w:r w:rsidR="004B460B" w:rsidRPr="004B460B">
        <w:rPr>
          <w:rFonts w:cs="Arial"/>
          <w:color w:val="auto"/>
        </w:rPr>
        <w:t xml:space="preserve"> Business Continuity Planning</w:t>
      </w:r>
      <w:r w:rsidRPr="004B460B">
        <w:rPr>
          <w:rFonts w:cs="Arial"/>
          <w:color w:val="auto"/>
        </w:rPr>
        <w:t xml:space="preserve">. This will mitigate the risk to the organisation that major incidents could potentially result in an inability to provide critical services to residents, customers, partners and key stakeholders. </w:t>
      </w:r>
      <w:r w:rsidR="004B460B" w:rsidRPr="004B460B">
        <w:rPr>
          <w:rFonts w:cs="Arial"/>
          <w:color w:val="auto"/>
        </w:rPr>
        <w:t xml:space="preserve"> Progress is being made across a number of areas which will strengthen the resilience of Council systems.</w:t>
      </w:r>
      <w:r w:rsidR="00641712">
        <w:rPr>
          <w:rFonts w:cs="Arial"/>
          <w:color w:val="auto"/>
        </w:rPr>
        <w:t xml:space="preserve"> An action plan has been prepared </w:t>
      </w:r>
      <w:r w:rsidR="003B1773">
        <w:rPr>
          <w:rFonts w:cs="Arial"/>
          <w:color w:val="auto"/>
        </w:rPr>
        <w:t>and</w:t>
      </w:r>
      <w:r w:rsidR="00641712">
        <w:rPr>
          <w:rFonts w:cs="Arial"/>
          <w:color w:val="auto"/>
        </w:rPr>
        <w:t xml:space="preserve"> the Council </w:t>
      </w:r>
      <w:r w:rsidR="003B1773">
        <w:rPr>
          <w:rFonts w:cs="Arial"/>
          <w:color w:val="auto"/>
        </w:rPr>
        <w:t>is</w:t>
      </w:r>
      <w:r w:rsidR="00641712">
        <w:rPr>
          <w:rFonts w:cs="Arial"/>
          <w:color w:val="auto"/>
        </w:rPr>
        <w:t xml:space="preserve"> work</w:t>
      </w:r>
      <w:r w:rsidR="003B1773">
        <w:rPr>
          <w:rFonts w:cs="Arial"/>
          <w:color w:val="auto"/>
        </w:rPr>
        <w:t>ing</w:t>
      </w:r>
      <w:r w:rsidR="00641712">
        <w:rPr>
          <w:rFonts w:cs="Arial"/>
          <w:color w:val="auto"/>
        </w:rPr>
        <w:t xml:space="preserve"> with its insurers to update its Business Continuity Plans and to test them over the coming year.</w:t>
      </w:r>
    </w:p>
    <w:p w:rsidR="00796FDB" w:rsidRDefault="00796FDB" w:rsidP="00796FDB">
      <w:pPr>
        <w:pStyle w:val="ListParagraph"/>
        <w:numPr>
          <w:ilvl w:val="0"/>
          <w:numId w:val="0"/>
        </w:numPr>
        <w:spacing w:after="0"/>
        <w:rPr>
          <w:color w:val="auto"/>
          <w:lang w:eastAsia="en-US"/>
        </w:rPr>
      </w:pPr>
    </w:p>
    <w:p w:rsidR="00796FDB" w:rsidRPr="004B460B" w:rsidRDefault="003B1773" w:rsidP="00796FDB">
      <w:pPr>
        <w:numPr>
          <w:ilvl w:val="0"/>
          <w:numId w:val="34"/>
        </w:numPr>
        <w:tabs>
          <w:tab w:val="clear" w:pos="720"/>
          <w:tab w:val="num" w:pos="567"/>
        </w:tabs>
        <w:autoSpaceDE w:val="0"/>
        <w:autoSpaceDN w:val="0"/>
        <w:adjustRightInd w:val="0"/>
        <w:spacing w:after="0"/>
        <w:ind w:left="567" w:hanging="567"/>
        <w:rPr>
          <w:color w:val="auto"/>
          <w:lang w:eastAsia="en-US"/>
        </w:rPr>
      </w:pPr>
      <w:r>
        <w:rPr>
          <w:color w:val="auto"/>
          <w:lang w:eastAsia="en-US"/>
        </w:rPr>
        <w:t>Overall the Annual R</w:t>
      </w:r>
      <w:r w:rsidR="00796FDB">
        <w:rPr>
          <w:color w:val="auto"/>
          <w:lang w:eastAsia="en-US"/>
        </w:rPr>
        <w:t>eport from the Council’s internal auditors provides that moderate assurance can be given that there is a sound system of internal control, designed to meet the Council’s objectives and controls are being applied consistently.</w:t>
      </w:r>
    </w:p>
    <w:p w:rsidR="004B460B" w:rsidRPr="004B460B" w:rsidRDefault="004B460B" w:rsidP="004B460B">
      <w:pPr>
        <w:autoSpaceDE w:val="0"/>
        <w:autoSpaceDN w:val="0"/>
        <w:adjustRightInd w:val="0"/>
        <w:spacing w:after="0"/>
        <w:rPr>
          <w:color w:val="auto"/>
          <w:lang w:eastAsia="en-US"/>
        </w:rPr>
      </w:pPr>
    </w:p>
    <w:p w:rsidR="00BC5362" w:rsidRDefault="00BC5362" w:rsidP="004B460B">
      <w:pPr>
        <w:numPr>
          <w:ilvl w:val="0"/>
          <w:numId w:val="34"/>
        </w:numPr>
        <w:tabs>
          <w:tab w:val="clear" w:pos="720"/>
          <w:tab w:val="num" w:pos="567"/>
        </w:tabs>
        <w:spacing w:after="0"/>
        <w:ind w:left="567" w:hanging="567"/>
        <w:rPr>
          <w:color w:val="auto"/>
          <w:lang w:eastAsia="en-US"/>
        </w:rPr>
      </w:pPr>
      <w:r w:rsidRPr="00BC5362">
        <w:rPr>
          <w:color w:val="auto"/>
          <w:lang w:eastAsia="en-US"/>
        </w:rPr>
        <w:t>The Committee is required to consider and, if satisfied, approve the AGS. The A</w:t>
      </w:r>
      <w:r w:rsidR="003B1773">
        <w:rPr>
          <w:color w:val="auto"/>
          <w:lang w:eastAsia="en-US"/>
        </w:rPr>
        <w:t>GS forms part of the Council’s Statement of A</w:t>
      </w:r>
      <w:r w:rsidRPr="00BC5362">
        <w:rPr>
          <w:color w:val="auto"/>
          <w:lang w:eastAsia="en-US"/>
        </w:rPr>
        <w:t>ccounts and</w:t>
      </w:r>
      <w:r w:rsidR="003B1773">
        <w:rPr>
          <w:color w:val="auto"/>
          <w:lang w:eastAsia="en-US"/>
        </w:rPr>
        <w:t xml:space="preserve"> is attached to the report as</w:t>
      </w:r>
      <w:r w:rsidRPr="00BC5362">
        <w:rPr>
          <w:color w:val="auto"/>
          <w:lang w:eastAsia="en-US"/>
        </w:rPr>
        <w:t xml:space="preserve"> Appendix</w:t>
      </w:r>
      <w:r w:rsidR="002702ED">
        <w:rPr>
          <w:color w:val="auto"/>
          <w:lang w:eastAsia="en-US"/>
        </w:rPr>
        <w:t xml:space="preserve"> 1</w:t>
      </w:r>
      <w:r w:rsidRPr="00BC5362">
        <w:rPr>
          <w:color w:val="auto"/>
          <w:lang w:eastAsia="en-US"/>
        </w:rPr>
        <w:t>.</w:t>
      </w:r>
    </w:p>
    <w:p w:rsidR="0040736F" w:rsidRPr="001356F1" w:rsidRDefault="002329CF" w:rsidP="004A6D2F">
      <w:pPr>
        <w:pStyle w:val="Heading1"/>
      </w:pPr>
      <w:r w:rsidRPr="001356F1">
        <w:t>Financial implications</w:t>
      </w:r>
    </w:p>
    <w:p w:rsidR="00E87F7A" w:rsidRPr="001356F1" w:rsidRDefault="00BC5362" w:rsidP="00BC5362">
      <w:pPr>
        <w:pStyle w:val="ListParagraph"/>
        <w:numPr>
          <w:ilvl w:val="0"/>
          <w:numId w:val="34"/>
        </w:numPr>
        <w:tabs>
          <w:tab w:val="clear" w:pos="426"/>
          <w:tab w:val="left" w:pos="567"/>
        </w:tabs>
        <w:ind w:hanging="720"/>
      </w:pPr>
      <w:r>
        <w:t>There are no financial implications arising directly from the report.</w:t>
      </w:r>
    </w:p>
    <w:p w:rsidR="0040736F" w:rsidRPr="001356F1" w:rsidRDefault="00DA614B" w:rsidP="004A6D2F">
      <w:pPr>
        <w:pStyle w:val="Heading1"/>
      </w:pPr>
      <w:r w:rsidRPr="001356F1">
        <w:t>Legal issues</w:t>
      </w:r>
    </w:p>
    <w:p w:rsidR="00E206D6" w:rsidRPr="002B1994" w:rsidRDefault="00C002C5" w:rsidP="00796FDB">
      <w:pPr>
        <w:numPr>
          <w:ilvl w:val="0"/>
          <w:numId w:val="34"/>
        </w:numPr>
        <w:tabs>
          <w:tab w:val="clear" w:pos="720"/>
          <w:tab w:val="num" w:pos="567"/>
        </w:tabs>
        <w:autoSpaceDE w:val="0"/>
        <w:autoSpaceDN w:val="0"/>
        <w:adjustRightInd w:val="0"/>
        <w:spacing w:after="0"/>
        <w:ind w:left="567" w:hanging="567"/>
      </w:pPr>
      <w:r w:rsidRPr="00796FDB">
        <w:rPr>
          <w:rFonts w:cs="Arial"/>
          <w:color w:val="auto"/>
        </w:rPr>
        <w:t xml:space="preserve">Regulation 6(1)(a) of the Accounts and Audit Regulations 2015 requires an authority to conduct a review at least once in a year of the effectiveness of its systems of internal control and include a statement reporting on the review with any published Statement of Accounts. </w:t>
      </w:r>
      <w:r w:rsidR="00BC5362" w:rsidRPr="00796FDB">
        <w:rPr>
          <w:rFonts w:cs="Arial"/>
          <w:color w:val="auto"/>
          <w:lang w:eastAsia="en-US"/>
        </w:rPr>
        <w:t>The Annual Governance Statement explains h</w:t>
      </w:r>
      <w:r w:rsidRPr="00796FDB">
        <w:rPr>
          <w:rFonts w:cs="Arial"/>
          <w:color w:val="auto"/>
          <w:lang w:eastAsia="en-US"/>
        </w:rPr>
        <w:t>ow Oxford City Council meets this</w:t>
      </w:r>
      <w:r w:rsidR="00BC5362" w:rsidRPr="00796FDB">
        <w:rPr>
          <w:rFonts w:cs="Arial"/>
          <w:color w:val="auto"/>
          <w:lang w:eastAsia="en-US"/>
        </w:rPr>
        <w:t xml:space="preserve"> requirement</w:t>
      </w:r>
      <w:r w:rsidRPr="00796FDB">
        <w:rPr>
          <w:rFonts w:cs="Arial"/>
          <w:color w:val="auto"/>
          <w:lang w:eastAsia="en-US"/>
        </w:rPr>
        <w:t>.</w:t>
      </w:r>
      <w:r w:rsidR="00BC5362" w:rsidRPr="00796FDB">
        <w:rPr>
          <w:rFonts w:cs="Arial"/>
          <w:color w:val="auto"/>
          <w:lang w:eastAsia="en-US"/>
        </w:rPr>
        <w:t xml:space="preserve"> </w:t>
      </w:r>
    </w:p>
    <w:p w:rsidR="002B1994" w:rsidRDefault="002B1994" w:rsidP="002B1994">
      <w:pPr>
        <w:autoSpaceDE w:val="0"/>
        <w:autoSpaceDN w:val="0"/>
        <w:adjustRightInd w:val="0"/>
        <w:spacing w:after="0"/>
        <w:rPr>
          <w:rFonts w:cs="Arial"/>
          <w:color w:val="auto"/>
          <w:lang w:eastAsia="en-US"/>
        </w:rPr>
      </w:pPr>
    </w:p>
    <w:p w:rsidR="002B1994" w:rsidRDefault="002B1994" w:rsidP="002B1994">
      <w:pPr>
        <w:autoSpaceDE w:val="0"/>
        <w:autoSpaceDN w:val="0"/>
        <w:adjustRightInd w:val="0"/>
        <w:spacing w:after="0"/>
        <w:rPr>
          <w:rFonts w:cs="Arial"/>
          <w:color w:val="auto"/>
          <w:lang w:eastAsia="en-US"/>
        </w:rPr>
      </w:pPr>
    </w:p>
    <w:p w:rsidR="002B1994" w:rsidRDefault="002B1994" w:rsidP="002B1994">
      <w:pPr>
        <w:autoSpaceDE w:val="0"/>
        <w:autoSpaceDN w:val="0"/>
        <w:adjustRightInd w:val="0"/>
        <w:spacing w:after="0"/>
        <w:rPr>
          <w:rFonts w:cs="Arial"/>
          <w:color w:val="auto"/>
          <w:lang w:eastAsia="en-US"/>
        </w:rPr>
      </w:pPr>
    </w:p>
    <w:p w:rsidR="002B1994" w:rsidRDefault="002B1994" w:rsidP="002B1994">
      <w:pPr>
        <w:autoSpaceDE w:val="0"/>
        <w:autoSpaceDN w:val="0"/>
        <w:adjustRightInd w:val="0"/>
        <w:spacing w:after="0"/>
        <w:rPr>
          <w:rFonts w:cs="Arial"/>
          <w:color w:val="auto"/>
          <w:lang w:eastAsia="en-US"/>
        </w:rPr>
      </w:pPr>
    </w:p>
    <w:p w:rsidR="002B1994" w:rsidRDefault="002B1994" w:rsidP="002B1994">
      <w:pPr>
        <w:autoSpaceDE w:val="0"/>
        <w:autoSpaceDN w:val="0"/>
        <w:adjustRightInd w:val="0"/>
        <w:spacing w:after="0"/>
        <w:rPr>
          <w:rFonts w:cs="Arial"/>
          <w:color w:val="auto"/>
          <w:lang w:eastAsia="en-US"/>
        </w:rPr>
      </w:pPr>
    </w:p>
    <w:p w:rsidR="002B1994" w:rsidRPr="001356F1" w:rsidRDefault="002B1994" w:rsidP="002B1994">
      <w:pPr>
        <w:autoSpaceDE w:val="0"/>
        <w:autoSpaceDN w:val="0"/>
        <w:adjustRightInd w:val="0"/>
        <w:spacing w:after="0"/>
      </w:pPr>
      <w:bookmarkStart w:id="0" w:name="_GoBack"/>
      <w:bookmarkEnd w:id="0"/>
    </w:p>
    <w:p w:rsidR="002329CF" w:rsidRPr="001356F1" w:rsidRDefault="002329CF" w:rsidP="004A6D2F"/>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DF093E" w:rsidRPr="001356F1"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rsidR="00E87F7A" w:rsidRPr="001356F1" w:rsidRDefault="00E87F7A" w:rsidP="00A46E98">
            <w:pPr>
              <w:rPr>
                <w:b/>
              </w:rPr>
            </w:pPr>
            <w:r w:rsidRPr="001356F1">
              <w:rPr>
                <w:b/>
              </w:rPr>
              <w:lastRenderedPageBreak/>
              <w:t>Report author</w:t>
            </w:r>
          </w:p>
        </w:tc>
        <w:tc>
          <w:tcPr>
            <w:tcW w:w="4962" w:type="dxa"/>
            <w:tcBorders>
              <w:top w:val="single" w:sz="8" w:space="0" w:color="000000"/>
              <w:left w:val="nil"/>
              <w:bottom w:val="single" w:sz="8" w:space="0" w:color="000000"/>
              <w:right w:val="single" w:sz="8" w:space="0" w:color="000000"/>
            </w:tcBorders>
            <w:shd w:val="clear" w:color="auto" w:fill="auto"/>
          </w:tcPr>
          <w:p w:rsidR="00E87F7A" w:rsidRPr="001356F1" w:rsidRDefault="00BC5362" w:rsidP="00A46E98">
            <w:r>
              <w:t>Emma Griffiths</w:t>
            </w:r>
          </w:p>
        </w:tc>
      </w:tr>
      <w:tr w:rsidR="00DF093E" w:rsidRPr="001356F1" w:rsidTr="00A46E98">
        <w:trPr>
          <w:cantSplit/>
          <w:trHeight w:val="396"/>
        </w:trPr>
        <w:tc>
          <w:tcPr>
            <w:tcW w:w="3969" w:type="dxa"/>
            <w:tcBorders>
              <w:top w:val="single" w:sz="8" w:space="0" w:color="000000"/>
              <w:left w:val="single" w:sz="8" w:space="0" w:color="000000"/>
              <w:bottom w:val="nil"/>
              <w:right w:val="nil"/>
            </w:tcBorders>
            <w:shd w:val="clear" w:color="auto" w:fill="auto"/>
          </w:tcPr>
          <w:p w:rsidR="00E87F7A" w:rsidRPr="001356F1" w:rsidRDefault="00E87F7A" w:rsidP="00A46E98">
            <w:r w:rsidRPr="001356F1">
              <w:t>Job title</w:t>
            </w:r>
          </w:p>
        </w:tc>
        <w:tc>
          <w:tcPr>
            <w:tcW w:w="4962" w:type="dxa"/>
            <w:tcBorders>
              <w:top w:val="single" w:sz="8" w:space="0" w:color="000000"/>
              <w:left w:val="nil"/>
              <w:bottom w:val="nil"/>
              <w:right w:val="single" w:sz="8" w:space="0" w:color="000000"/>
            </w:tcBorders>
            <w:shd w:val="clear" w:color="auto" w:fill="auto"/>
          </w:tcPr>
          <w:p w:rsidR="00E87F7A" w:rsidRPr="001356F1" w:rsidRDefault="00BC5362" w:rsidP="00A46E98">
            <w:r>
              <w:t>Lawyer</w:t>
            </w:r>
          </w:p>
        </w:tc>
      </w:tr>
      <w:tr w:rsidR="00DF093E" w:rsidRPr="001356F1" w:rsidTr="00A46E98">
        <w:trPr>
          <w:cantSplit/>
          <w:trHeight w:val="396"/>
        </w:trPr>
        <w:tc>
          <w:tcPr>
            <w:tcW w:w="3969" w:type="dxa"/>
            <w:tcBorders>
              <w:top w:val="nil"/>
              <w:left w:val="single" w:sz="8" w:space="0" w:color="000000"/>
              <w:bottom w:val="nil"/>
              <w:right w:val="nil"/>
            </w:tcBorders>
            <w:shd w:val="clear" w:color="auto" w:fill="auto"/>
          </w:tcPr>
          <w:p w:rsidR="00E87F7A" w:rsidRPr="001356F1" w:rsidRDefault="00E87F7A" w:rsidP="00A46E98">
            <w:r w:rsidRPr="001356F1">
              <w:t>Service area or department</w:t>
            </w:r>
          </w:p>
        </w:tc>
        <w:tc>
          <w:tcPr>
            <w:tcW w:w="4962" w:type="dxa"/>
            <w:tcBorders>
              <w:top w:val="nil"/>
              <w:left w:val="nil"/>
              <w:bottom w:val="nil"/>
              <w:right w:val="single" w:sz="8" w:space="0" w:color="000000"/>
            </w:tcBorders>
            <w:shd w:val="clear" w:color="auto" w:fill="auto"/>
          </w:tcPr>
          <w:p w:rsidR="00E87F7A" w:rsidRPr="001356F1" w:rsidRDefault="00BC5362" w:rsidP="00A46E98">
            <w:r>
              <w:t>Law &amp; Governance</w:t>
            </w:r>
          </w:p>
        </w:tc>
      </w:tr>
      <w:tr w:rsidR="00DF093E" w:rsidRPr="001356F1" w:rsidTr="00A46E98">
        <w:trPr>
          <w:cantSplit/>
          <w:trHeight w:val="396"/>
        </w:trPr>
        <w:tc>
          <w:tcPr>
            <w:tcW w:w="3969" w:type="dxa"/>
            <w:tcBorders>
              <w:top w:val="nil"/>
              <w:left w:val="single" w:sz="8" w:space="0" w:color="000000"/>
              <w:bottom w:val="nil"/>
              <w:right w:val="nil"/>
            </w:tcBorders>
            <w:shd w:val="clear" w:color="auto" w:fill="auto"/>
          </w:tcPr>
          <w:p w:rsidR="00E87F7A" w:rsidRPr="001356F1" w:rsidRDefault="00E87F7A" w:rsidP="00A46E98">
            <w:r w:rsidRPr="001356F1">
              <w:t xml:space="preserve">Telephone </w:t>
            </w:r>
          </w:p>
        </w:tc>
        <w:tc>
          <w:tcPr>
            <w:tcW w:w="4962" w:type="dxa"/>
            <w:tcBorders>
              <w:top w:val="nil"/>
              <w:left w:val="nil"/>
              <w:bottom w:val="nil"/>
              <w:right w:val="single" w:sz="8" w:space="0" w:color="000000"/>
            </w:tcBorders>
            <w:shd w:val="clear" w:color="auto" w:fill="auto"/>
          </w:tcPr>
          <w:p w:rsidR="00E87F7A" w:rsidRPr="001356F1" w:rsidRDefault="00E87F7A" w:rsidP="00BC5362">
            <w:r w:rsidRPr="001356F1">
              <w:t xml:space="preserve">01865 </w:t>
            </w:r>
            <w:r w:rsidR="00BC5362">
              <w:t>252208</w:t>
            </w:r>
            <w:r w:rsidRPr="001356F1">
              <w:t xml:space="preserve">  </w:t>
            </w:r>
          </w:p>
        </w:tc>
      </w:tr>
      <w:tr w:rsidR="005570B5" w:rsidRPr="001356F1" w:rsidTr="00A46E98">
        <w:trPr>
          <w:cantSplit/>
          <w:trHeight w:val="396"/>
        </w:trPr>
        <w:tc>
          <w:tcPr>
            <w:tcW w:w="3969" w:type="dxa"/>
            <w:tcBorders>
              <w:top w:val="nil"/>
              <w:left w:val="single" w:sz="8" w:space="0" w:color="000000"/>
              <w:bottom w:val="single" w:sz="8" w:space="0" w:color="000000"/>
              <w:right w:val="nil"/>
            </w:tcBorders>
            <w:shd w:val="clear" w:color="auto" w:fill="auto"/>
          </w:tcPr>
          <w:p w:rsidR="00E87F7A" w:rsidRPr="001356F1" w:rsidRDefault="00E87F7A" w:rsidP="00A46E98">
            <w:r w:rsidRPr="001356F1">
              <w:t xml:space="preserve">e-mail </w:t>
            </w:r>
          </w:p>
        </w:tc>
        <w:tc>
          <w:tcPr>
            <w:tcW w:w="4962" w:type="dxa"/>
            <w:tcBorders>
              <w:top w:val="nil"/>
              <w:left w:val="nil"/>
              <w:bottom w:val="single" w:sz="8" w:space="0" w:color="000000"/>
              <w:right w:val="single" w:sz="8" w:space="0" w:color="000000"/>
            </w:tcBorders>
            <w:shd w:val="clear" w:color="auto" w:fill="auto"/>
          </w:tcPr>
          <w:p w:rsidR="00E87F7A" w:rsidRPr="001356F1" w:rsidRDefault="00BC5362" w:rsidP="00A46E98">
            <w:pPr>
              <w:rPr>
                <w:rStyle w:val="Hyperlink"/>
                <w:color w:val="000000"/>
              </w:rPr>
            </w:pPr>
            <w:r>
              <w:rPr>
                <w:rStyle w:val="Hyperlink"/>
                <w:color w:val="000000"/>
              </w:rPr>
              <w:t>egriffiths@oxford.gov.uk</w:t>
            </w:r>
          </w:p>
        </w:tc>
      </w:tr>
    </w:tbl>
    <w:p w:rsidR="00433B96" w:rsidRPr="001356F1" w:rsidRDefault="00433B96" w:rsidP="004A6D2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DF093E" w:rsidRPr="001356F1" w:rsidTr="003B1773">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rsidR="0093067A" w:rsidRPr="001356F1" w:rsidRDefault="00182B81" w:rsidP="00BC5362">
            <w:r w:rsidRPr="001356F1">
              <w:rPr>
                <w:rStyle w:val="Firstpagetablebold"/>
              </w:rPr>
              <w:t xml:space="preserve">Background Papers: </w:t>
            </w:r>
          </w:p>
        </w:tc>
      </w:tr>
      <w:tr w:rsidR="00DF093E" w:rsidRPr="001356F1" w:rsidTr="003B1773">
        <w:tc>
          <w:tcPr>
            <w:tcW w:w="567" w:type="dxa"/>
            <w:tcBorders>
              <w:top w:val="single" w:sz="8" w:space="0" w:color="000000"/>
              <w:left w:val="single" w:sz="8" w:space="0" w:color="000000"/>
              <w:bottom w:val="single" w:sz="4" w:space="0" w:color="auto"/>
              <w:right w:val="nil"/>
            </w:tcBorders>
            <w:shd w:val="clear" w:color="auto" w:fill="auto"/>
          </w:tcPr>
          <w:p w:rsidR="0093067A" w:rsidRPr="001356F1" w:rsidRDefault="00182B81" w:rsidP="00F41AC1">
            <w:r w:rsidRPr="001356F1">
              <w:t>1</w:t>
            </w:r>
          </w:p>
        </w:tc>
        <w:tc>
          <w:tcPr>
            <w:tcW w:w="8364" w:type="dxa"/>
            <w:tcBorders>
              <w:top w:val="single" w:sz="8" w:space="0" w:color="000000"/>
              <w:left w:val="nil"/>
              <w:bottom w:val="single" w:sz="4" w:space="0" w:color="auto"/>
              <w:right w:val="single" w:sz="8" w:space="0" w:color="000000"/>
            </w:tcBorders>
          </w:tcPr>
          <w:p w:rsidR="0093067A" w:rsidRPr="001356F1" w:rsidRDefault="00BC5362" w:rsidP="00BC5362">
            <w:r>
              <w:t>Assurance Checklists completed by Service Heads</w:t>
            </w:r>
          </w:p>
        </w:tc>
      </w:tr>
    </w:tbl>
    <w:p w:rsidR="00CE4C87" w:rsidRDefault="00CE4C87" w:rsidP="0093067A"/>
    <w:sectPr w:rsidR="00CE4C87" w:rsidSect="00BC200B">
      <w:footerReference w:type="even" r:id="rId9"/>
      <w:headerReference w:type="first" r:id="rId10"/>
      <w:footerReference w:type="first" r:id="rId11"/>
      <w:pgSz w:w="11906" w:h="16838" w:code="9"/>
      <w:pgMar w:top="1418" w:right="1304" w:bottom="1304" w:left="1304" w:header="113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3E" w:rsidRDefault="0092113E" w:rsidP="004A6D2F">
      <w:r>
        <w:separator/>
      </w:r>
    </w:p>
  </w:endnote>
  <w:endnote w:type="continuationSeparator" w:id="0">
    <w:p w:rsidR="0092113E" w:rsidRDefault="0092113E"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12" w:rsidRDefault="00641712" w:rsidP="004A6D2F">
    <w:pPr>
      <w:pStyle w:val="Footer"/>
    </w:pPr>
    <w:r>
      <w:t>Do not use a footer or page numbers.</w:t>
    </w:r>
  </w:p>
  <w:p w:rsidR="00641712" w:rsidRDefault="00641712" w:rsidP="004A6D2F">
    <w:pPr>
      <w:pStyle w:val="Footer"/>
    </w:pPr>
  </w:p>
  <w:p w:rsidR="00641712" w:rsidRDefault="00641712" w:rsidP="004A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12" w:rsidRDefault="00641712" w:rsidP="004A6D2F">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3E" w:rsidRDefault="0092113E" w:rsidP="004A6D2F">
      <w:r>
        <w:separator/>
      </w:r>
    </w:p>
  </w:footnote>
  <w:footnote w:type="continuationSeparator" w:id="0">
    <w:p w:rsidR="0092113E" w:rsidRDefault="0092113E"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12" w:rsidRDefault="0092113E" w:rsidP="00D5547E">
    <w:pPr>
      <w:pStyle w:val="Header"/>
      <w:jc w:val="right"/>
    </w:pPr>
    <w:r>
      <w:rPr>
        <w:noProof/>
      </w:rPr>
      <w:drawing>
        <wp:inline distT="0" distB="0" distL="0" distR="0">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DEC56C"/>
    <w:lvl w:ilvl="0">
      <w:start w:val="1"/>
      <w:numFmt w:val="decimal"/>
      <w:lvlText w:val="%1."/>
      <w:lvlJc w:val="left"/>
      <w:pPr>
        <w:tabs>
          <w:tab w:val="num" w:pos="1492"/>
        </w:tabs>
        <w:ind w:left="1492" w:hanging="360"/>
      </w:pPr>
    </w:lvl>
  </w:abstractNum>
  <w:abstractNum w:abstractNumId="1">
    <w:nsid w:val="FFFFFF7D"/>
    <w:multiLevelType w:val="singleLevel"/>
    <w:tmpl w:val="6570EF96"/>
    <w:lvl w:ilvl="0">
      <w:start w:val="1"/>
      <w:numFmt w:val="decimal"/>
      <w:lvlText w:val="%1."/>
      <w:lvlJc w:val="left"/>
      <w:pPr>
        <w:tabs>
          <w:tab w:val="num" w:pos="1209"/>
        </w:tabs>
        <w:ind w:left="1209" w:hanging="360"/>
      </w:pPr>
    </w:lvl>
  </w:abstractNum>
  <w:abstractNum w:abstractNumId="2">
    <w:nsid w:val="FFFFFF7E"/>
    <w:multiLevelType w:val="singleLevel"/>
    <w:tmpl w:val="06B46E42"/>
    <w:lvl w:ilvl="0">
      <w:start w:val="1"/>
      <w:numFmt w:val="decimal"/>
      <w:lvlText w:val="%1."/>
      <w:lvlJc w:val="left"/>
      <w:pPr>
        <w:tabs>
          <w:tab w:val="num" w:pos="926"/>
        </w:tabs>
        <w:ind w:left="926" w:hanging="360"/>
      </w:pPr>
    </w:lvl>
  </w:abstractNum>
  <w:abstractNum w:abstractNumId="3">
    <w:nsid w:val="FFFFFF7F"/>
    <w:multiLevelType w:val="singleLevel"/>
    <w:tmpl w:val="1B90A310"/>
    <w:lvl w:ilvl="0">
      <w:start w:val="1"/>
      <w:numFmt w:val="decimal"/>
      <w:lvlText w:val="%1."/>
      <w:lvlJc w:val="left"/>
      <w:pPr>
        <w:tabs>
          <w:tab w:val="num" w:pos="643"/>
        </w:tabs>
        <w:ind w:left="643" w:hanging="360"/>
      </w:pPr>
    </w:lvl>
  </w:abstractNum>
  <w:abstractNum w:abstractNumId="4">
    <w:nsid w:val="FFFFFF80"/>
    <w:multiLevelType w:val="singleLevel"/>
    <w:tmpl w:val="5B3476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060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C253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CAEA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88150A"/>
    <w:lvl w:ilvl="0">
      <w:start w:val="1"/>
      <w:numFmt w:val="decimal"/>
      <w:lvlText w:val="%1."/>
      <w:lvlJc w:val="left"/>
      <w:pPr>
        <w:tabs>
          <w:tab w:val="num" w:pos="360"/>
        </w:tabs>
        <w:ind w:left="360" w:hanging="360"/>
      </w:pPr>
    </w:lvl>
  </w:abstractNum>
  <w:abstractNum w:abstractNumId="9">
    <w:nsid w:val="FFFFFF89"/>
    <w:multiLevelType w:val="singleLevel"/>
    <w:tmpl w:val="B7E43140"/>
    <w:lvl w:ilvl="0">
      <w:start w:val="1"/>
      <w:numFmt w:val="bullet"/>
      <w:lvlText w:val=""/>
      <w:lvlJc w:val="left"/>
      <w:pPr>
        <w:tabs>
          <w:tab w:val="num" w:pos="360"/>
        </w:tabs>
        <w:ind w:left="360" w:hanging="360"/>
      </w:pPr>
      <w:rPr>
        <w:rFonts w:ascii="Symbol" w:hAnsi="Symbol" w:hint="default"/>
      </w:rPr>
    </w:lvl>
  </w:abstractNum>
  <w:abstractNum w:abstractNumId="10">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49C05EF"/>
    <w:multiLevelType w:val="multilevel"/>
    <w:tmpl w:val="43D6D2FA"/>
    <w:numStyleLink w:val="StyleBulletedSymbolsymbolLeft063cmHanging063cm"/>
  </w:abstractNum>
  <w:abstractNum w:abstractNumId="13">
    <w:nsid w:val="092922A7"/>
    <w:multiLevelType w:val="hybridMultilevel"/>
    <w:tmpl w:val="2B26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A731236"/>
    <w:multiLevelType w:val="multilevel"/>
    <w:tmpl w:val="1700ACF6"/>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FE3CBC"/>
    <w:multiLevelType w:val="hybridMultilevel"/>
    <w:tmpl w:val="8BD02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2263A6A"/>
    <w:multiLevelType w:val="multilevel"/>
    <w:tmpl w:val="43D6D2FA"/>
    <w:numStyleLink w:val="StyleBulletedSymbolsymbolLeft063cmHanging063cm"/>
  </w:abstractNum>
  <w:abstractNum w:abstractNumId="18">
    <w:nsid w:val="2C0A3AC3"/>
    <w:multiLevelType w:val="hybridMultilevel"/>
    <w:tmpl w:val="2B326A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0B4923"/>
    <w:multiLevelType w:val="hybridMultilevel"/>
    <w:tmpl w:val="2D883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343E22"/>
    <w:multiLevelType w:val="hybridMultilevel"/>
    <w:tmpl w:val="3E3ABABA"/>
    <w:lvl w:ilvl="0" w:tplc="081A0C3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37F1004"/>
    <w:multiLevelType w:val="hybridMultilevel"/>
    <w:tmpl w:val="4E022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12530E"/>
    <w:multiLevelType w:val="hybridMultilevel"/>
    <w:tmpl w:val="CEECF3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6764EAF"/>
    <w:multiLevelType w:val="hybridMultilevel"/>
    <w:tmpl w:val="AB625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8F2C59"/>
    <w:multiLevelType w:val="hybridMultilevel"/>
    <w:tmpl w:val="396C5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6565907"/>
    <w:multiLevelType w:val="hybridMultilevel"/>
    <w:tmpl w:val="5594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ABA5FD8"/>
    <w:multiLevelType w:val="multilevel"/>
    <w:tmpl w:val="43D6D2FA"/>
    <w:numStyleLink w:val="StyleBulletedSymbolsymbolLeft063cmHanging063cm"/>
  </w:abstractNum>
  <w:abstractNum w:abstractNumId="27">
    <w:nsid w:val="5C7E19E2"/>
    <w:multiLevelType w:val="hybridMultilevel"/>
    <w:tmpl w:val="3146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A22831"/>
    <w:multiLevelType w:val="multilevel"/>
    <w:tmpl w:val="43D6D2FA"/>
    <w:numStyleLink w:val="StyleBulletedSymbolsymbolLeft063cmHanging063cm"/>
  </w:abstractNum>
  <w:abstractNum w:abstractNumId="29">
    <w:nsid w:val="6A6E4F0C"/>
    <w:multiLevelType w:val="hybridMultilevel"/>
    <w:tmpl w:val="8B5812F6"/>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1550E4"/>
    <w:multiLevelType w:val="hybridMultilevel"/>
    <w:tmpl w:val="DD86F5E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D16223"/>
    <w:multiLevelType w:val="hybridMultilevel"/>
    <w:tmpl w:val="E67CE6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98365C6"/>
    <w:multiLevelType w:val="multilevel"/>
    <w:tmpl w:val="E67CE66C"/>
    <w:numStyleLink w:val="StyleNumberedLeft0cmHanging075cm"/>
  </w:abstractNum>
  <w:num w:numId="1">
    <w:abstractNumId w:val="25"/>
  </w:num>
  <w:num w:numId="2">
    <w:abstractNumId w:val="31"/>
  </w:num>
  <w:num w:numId="3">
    <w:abstractNumId w:val="22"/>
  </w:num>
  <w:num w:numId="4">
    <w:abstractNumId w:val="18"/>
  </w:num>
  <w:num w:numId="5">
    <w:abstractNumId w:val="27"/>
  </w:num>
  <w:num w:numId="6">
    <w:abstractNumId w:val="32"/>
  </w:num>
  <w:num w:numId="7">
    <w:abstractNumId w:val="21"/>
  </w:num>
  <w:num w:numId="8">
    <w:abstractNumId w:val="19"/>
  </w:num>
  <w:num w:numId="9">
    <w:abstractNumId w:val="13"/>
  </w:num>
  <w:num w:numId="10">
    <w:abstractNumId w:val="15"/>
  </w:num>
  <w:num w:numId="11">
    <w:abstractNumId w:val="24"/>
  </w:num>
  <w:num w:numId="12">
    <w:abstractNumId w:val="23"/>
  </w:num>
  <w:num w:numId="13">
    <w:abstractNumId w:val="10"/>
  </w:num>
  <w:num w:numId="14">
    <w:abstractNumId w:val="33"/>
  </w:num>
  <w:num w:numId="15">
    <w:abstractNumId w:val="16"/>
  </w:num>
  <w:num w:numId="16">
    <w:abstractNumId w:val="11"/>
  </w:num>
  <w:num w:numId="17">
    <w:abstractNumId w:val="26"/>
  </w:num>
  <w:num w:numId="18">
    <w:abstractNumId w:val="12"/>
  </w:num>
  <w:num w:numId="19">
    <w:abstractNumId w:val="28"/>
  </w:num>
  <w:num w:numId="20">
    <w:abstractNumId w:val="17"/>
  </w:num>
  <w:num w:numId="21">
    <w:abstractNumId w:val="20"/>
  </w:num>
  <w:num w:numId="22">
    <w:abstractNumId w:val="14"/>
  </w:num>
  <w:num w:numId="23">
    <w:abstractNumId w:val="3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revisionView w:markup="0" w:comments="0" w:insDel="0" w:formatting="0" w:inkAnnotations="0"/>
  <w:documentProtection w:edit="trackedChange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3E"/>
    <w:rsid w:val="000117D4"/>
    <w:rsid w:val="000314D7"/>
    <w:rsid w:val="00045F8B"/>
    <w:rsid w:val="00046D2B"/>
    <w:rsid w:val="00056263"/>
    <w:rsid w:val="00064D8A"/>
    <w:rsid w:val="00064F82"/>
    <w:rsid w:val="00066510"/>
    <w:rsid w:val="00077523"/>
    <w:rsid w:val="000C089F"/>
    <w:rsid w:val="000C3928"/>
    <w:rsid w:val="000C5E8E"/>
    <w:rsid w:val="000F4751"/>
    <w:rsid w:val="0010524C"/>
    <w:rsid w:val="00111FB1"/>
    <w:rsid w:val="00113418"/>
    <w:rsid w:val="001356F1"/>
    <w:rsid w:val="00136994"/>
    <w:rsid w:val="0014128E"/>
    <w:rsid w:val="00151888"/>
    <w:rsid w:val="00170A2D"/>
    <w:rsid w:val="001808BC"/>
    <w:rsid w:val="00182B81"/>
    <w:rsid w:val="0018619D"/>
    <w:rsid w:val="001A011E"/>
    <w:rsid w:val="001A066A"/>
    <w:rsid w:val="001A13E6"/>
    <w:rsid w:val="001A5731"/>
    <w:rsid w:val="001B42C3"/>
    <w:rsid w:val="001C5D5E"/>
    <w:rsid w:val="001D678D"/>
    <w:rsid w:val="001E03F8"/>
    <w:rsid w:val="001E1678"/>
    <w:rsid w:val="001E3376"/>
    <w:rsid w:val="002069B3"/>
    <w:rsid w:val="002329CF"/>
    <w:rsid w:val="00232F5B"/>
    <w:rsid w:val="00247C29"/>
    <w:rsid w:val="00260467"/>
    <w:rsid w:val="00263EA3"/>
    <w:rsid w:val="002702ED"/>
    <w:rsid w:val="00284F85"/>
    <w:rsid w:val="00290915"/>
    <w:rsid w:val="002A22E2"/>
    <w:rsid w:val="002B1994"/>
    <w:rsid w:val="002C64F7"/>
    <w:rsid w:val="002F41F2"/>
    <w:rsid w:val="00301BF3"/>
    <w:rsid w:val="0030208D"/>
    <w:rsid w:val="00323418"/>
    <w:rsid w:val="003357BF"/>
    <w:rsid w:val="00364FAD"/>
    <w:rsid w:val="0036738F"/>
    <w:rsid w:val="0036759C"/>
    <w:rsid w:val="00367AE5"/>
    <w:rsid w:val="00367D71"/>
    <w:rsid w:val="0038150A"/>
    <w:rsid w:val="003B1773"/>
    <w:rsid w:val="003B3B99"/>
    <w:rsid w:val="003B6E75"/>
    <w:rsid w:val="003B7DA1"/>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62AB5"/>
    <w:rsid w:val="00465EAF"/>
    <w:rsid w:val="004738C5"/>
    <w:rsid w:val="00491046"/>
    <w:rsid w:val="004A2AC7"/>
    <w:rsid w:val="004A6D2F"/>
    <w:rsid w:val="004B460B"/>
    <w:rsid w:val="004C2887"/>
    <w:rsid w:val="004D2626"/>
    <w:rsid w:val="004D6E26"/>
    <w:rsid w:val="004D77D3"/>
    <w:rsid w:val="004E2959"/>
    <w:rsid w:val="004F20EF"/>
    <w:rsid w:val="0050321C"/>
    <w:rsid w:val="0054712D"/>
    <w:rsid w:val="00547EF6"/>
    <w:rsid w:val="005570B5"/>
    <w:rsid w:val="00567E18"/>
    <w:rsid w:val="00575F5F"/>
    <w:rsid w:val="00581805"/>
    <w:rsid w:val="00585F76"/>
    <w:rsid w:val="005A34E4"/>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41712"/>
    <w:rsid w:val="00650811"/>
    <w:rsid w:val="00661D3E"/>
    <w:rsid w:val="00692627"/>
    <w:rsid w:val="006969E7"/>
    <w:rsid w:val="006A3643"/>
    <w:rsid w:val="006C2A29"/>
    <w:rsid w:val="006C64CF"/>
    <w:rsid w:val="006D17B1"/>
    <w:rsid w:val="006D4752"/>
    <w:rsid w:val="006D63FA"/>
    <w:rsid w:val="006D708A"/>
    <w:rsid w:val="006E14C1"/>
    <w:rsid w:val="006F0292"/>
    <w:rsid w:val="006F27FA"/>
    <w:rsid w:val="006F416B"/>
    <w:rsid w:val="006F519B"/>
    <w:rsid w:val="00713675"/>
    <w:rsid w:val="00715823"/>
    <w:rsid w:val="00737B93"/>
    <w:rsid w:val="00745BF0"/>
    <w:rsid w:val="007615FE"/>
    <w:rsid w:val="0076655C"/>
    <w:rsid w:val="007742DC"/>
    <w:rsid w:val="00791437"/>
    <w:rsid w:val="00796FDB"/>
    <w:rsid w:val="007B0C2C"/>
    <w:rsid w:val="007B278E"/>
    <w:rsid w:val="007C5C23"/>
    <w:rsid w:val="007E2A26"/>
    <w:rsid w:val="007F2348"/>
    <w:rsid w:val="00803F07"/>
    <w:rsid w:val="0080749A"/>
    <w:rsid w:val="00821FB8"/>
    <w:rsid w:val="00822ACD"/>
    <w:rsid w:val="00855C66"/>
    <w:rsid w:val="00871EE4"/>
    <w:rsid w:val="008B293F"/>
    <w:rsid w:val="008B7371"/>
    <w:rsid w:val="008D3DDB"/>
    <w:rsid w:val="008F19EC"/>
    <w:rsid w:val="008F573F"/>
    <w:rsid w:val="009034EC"/>
    <w:rsid w:val="0092113E"/>
    <w:rsid w:val="0093067A"/>
    <w:rsid w:val="00941C60"/>
    <w:rsid w:val="00966D42"/>
    <w:rsid w:val="00971689"/>
    <w:rsid w:val="00973E90"/>
    <w:rsid w:val="00975B07"/>
    <w:rsid w:val="00980B4A"/>
    <w:rsid w:val="009E3D0A"/>
    <w:rsid w:val="009E51FC"/>
    <w:rsid w:val="009F1D28"/>
    <w:rsid w:val="009F7618"/>
    <w:rsid w:val="00A04D23"/>
    <w:rsid w:val="00A06766"/>
    <w:rsid w:val="00A13765"/>
    <w:rsid w:val="00A21B12"/>
    <w:rsid w:val="00A23F80"/>
    <w:rsid w:val="00A46E98"/>
    <w:rsid w:val="00A6352B"/>
    <w:rsid w:val="00A701B5"/>
    <w:rsid w:val="00A714BB"/>
    <w:rsid w:val="00A92D8F"/>
    <w:rsid w:val="00AB2988"/>
    <w:rsid w:val="00AB7999"/>
    <w:rsid w:val="00AD3292"/>
    <w:rsid w:val="00AE7AF0"/>
    <w:rsid w:val="00B500CA"/>
    <w:rsid w:val="00B50BEC"/>
    <w:rsid w:val="00B86314"/>
    <w:rsid w:val="00BA1C2E"/>
    <w:rsid w:val="00BC200B"/>
    <w:rsid w:val="00BC4756"/>
    <w:rsid w:val="00BC5362"/>
    <w:rsid w:val="00BC69A4"/>
    <w:rsid w:val="00BE0680"/>
    <w:rsid w:val="00BE305F"/>
    <w:rsid w:val="00BE7BA3"/>
    <w:rsid w:val="00BF5682"/>
    <w:rsid w:val="00BF7B09"/>
    <w:rsid w:val="00C002C5"/>
    <w:rsid w:val="00C20A95"/>
    <w:rsid w:val="00C2692F"/>
    <w:rsid w:val="00C3207C"/>
    <w:rsid w:val="00C400E1"/>
    <w:rsid w:val="00C41187"/>
    <w:rsid w:val="00C63C31"/>
    <w:rsid w:val="00C757A0"/>
    <w:rsid w:val="00C760DE"/>
    <w:rsid w:val="00C82630"/>
    <w:rsid w:val="00C85B4E"/>
    <w:rsid w:val="00C907F7"/>
    <w:rsid w:val="00CA2103"/>
    <w:rsid w:val="00CB6B99"/>
    <w:rsid w:val="00CE4C87"/>
    <w:rsid w:val="00CE544A"/>
    <w:rsid w:val="00D11E1C"/>
    <w:rsid w:val="00D160B0"/>
    <w:rsid w:val="00D17F94"/>
    <w:rsid w:val="00D223FC"/>
    <w:rsid w:val="00D26D1E"/>
    <w:rsid w:val="00D474CF"/>
    <w:rsid w:val="00D5547E"/>
    <w:rsid w:val="00D869A1"/>
    <w:rsid w:val="00DA413F"/>
    <w:rsid w:val="00DA4584"/>
    <w:rsid w:val="00DA614B"/>
    <w:rsid w:val="00DC3060"/>
    <w:rsid w:val="00DE0FB2"/>
    <w:rsid w:val="00DF093E"/>
    <w:rsid w:val="00E01F42"/>
    <w:rsid w:val="00E206D6"/>
    <w:rsid w:val="00E3366E"/>
    <w:rsid w:val="00E52086"/>
    <w:rsid w:val="00E543A6"/>
    <w:rsid w:val="00E60479"/>
    <w:rsid w:val="00E61D73"/>
    <w:rsid w:val="00E73684"/>
    <w:rsid w:val="00E818D6"/>
    <w:rsid w:val="00E87F7A"/>
    <w:rsid w:val="00E96BD7"/>
    <w:rsid w:val="00EA0DB1"/>
    <w:rsid w:val="00EA0EE9"/>
    <w:rsid w:val="00ED52CA"/>
    <w:rsid w:val="00ED5860"/>
    <w:rsid w:val="00EE35C9"/>
    <w:rsid w:val="00F05ECA"/>
    <w:rsid w:val="00F3566E"/>
    <w:rsid w:val="00F375FB"/>
    <w:rsid w:val="00F41AC1"/>
    <w:rsid w:val="00F4367A"/>
    <w:rsid w:val="00F445B1"/>
    <w:rsid w:val="00F45CD4"/>
    <w:rsid w:val="00F66DCA"/>
    <w:rsid w:val="00F74F53"/>
    <w:rsid w:val="00F7606D"/>
    <w:rsid w:val="00F81670"/>
    <w:rsid w:val="00F82024"/>
    <w:rsid w:val="00F95BC9"/>
    <w:rsid w:val="00FA624C"/>
    <w:rsid w:val="00FD0FAC"/>
    <w:rsid w:val="00FD1DFA"/>
    <w:rsid w:val="00FD4966"/>
    <w:rsid w:val="00FE5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Subtitle" w:uiPriority="11"/>
    <w:lsdException w:name="Hyperlink"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16"/>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rsid w:val="005570B5"/>
    <w:pPr>
      <w:numPr>
        <w:numId w:val="14"/>
      </w:numPr>
      <w:tabs>
        <w:tab w:val="left" w:pos="426"/>
      </w:tabs>
      <w:ind w:left="426" w:hanging="426"/>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3"/>
      </w:numPr>
    </w:pPr>
  </w:style>
  <w:style w:type="paragraph" w:customStyle="1" w:styleId="Bulletpoints">
    <w:name w:val="Bullet points"/>
    <w:basedOn w:val="Normal"/>
    <w:link w:val="BulletpointsChar"/>
    <w:qFormat/>
    <w:rsid w:val="005570B5"/>
    <w:pPr>
      <w:numPr>
        <w:numId w:val="15"/>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23"/>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Legal-&amp;-Committee-Services\CoMother\Audit%20&amp;%20Governance%20Committee\Meetings\June\L&amp;G%20reports\Audit%20and%20Governance%20report%20AGS%202016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B769B-0BDA-47BE-BFCC-239C5BD0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 and Governance report AGS 20162017</Template>
  <TotalTime>3</TotalTime>
  <Pages>3</Pages>
  <Words>635</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jthompson</dc:creator>
  <cp:lastModifiedBy>jthompson</cp:lastModifiedBy>
  <cp:revision>2</cp:revision>
  <cp:lastPrinted>2015-07-03T12:50:00Z</cp:lastPrinted>
  <dcterms:created xsi:type="dcterms:W3CDTF">2017-06-20T10:16:00Z</dcterms:created>
  <dcterms:modified xsi:type="dcterms:W3CDTF">2017-06-20T10:19:00Z</dcterms:modified>
</cp:coreProperties>
</file>